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F8" w:rsidRDefault="000135F8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 О Н Т Р О Л Н А    Л И С Т А                     </w:t>
      </w:r>
      <w:r w:rsidR="009A4234">
        <w:rPr>
          <w:b/>
          <w:sz w:val="36"/>
          <w:szCs w:val="36"/>
        </w:rPr>
        <w:t xml:space="preserve">                       К.Л.бр.0</w:t>
      </w:r>
      <w:r w:rsidR="009A4234">
        <w:rPr>
          <w:b/>
          <w:sz w:val="36"/>
          <w:szCs w:val="36"/>
          <w:lang/>
        </w:rPr>
        <w:t>6</w:t>
      </w:r>
    </w:p>
    <w:p w:rsidR="000135F8" w:rsidRDefault="000135F8">
      <w:pPr>
        <w:spacing w:after="0" w:line="240" w:lineRule="auto"/>
        <w:jc w:val="both"/>
        <w:rPr>
          <w:b/>
          <w:sz w:val="16"/>
          <w:szCs w:val="16"/>
        </w:rPr>
      </w:pPr>
      <w:proofErr w:type="gramStart"/>
      <w:r>
        <w:rPr>
          <w:b/>
          <w:sz w:val="36"/>
          <w:szCs w:val="36"/>
        </w:rPr>
        <w:t>о</w:t>
      </w:r>
      <w:proofErr w:type="gramEnd"/>
      <w:r>
        <w:rPr>
          <w:b/>
          <w:sz w:val="36"/>
          <w:szCs w:val="36"/>
        </w:rPr>
        <w:t xml:space="preserve"> радном времену угоститељских, занатских и трговинских објеката</w:t>
      </w:r>
    </w:p>
    <w:tbl>
      <w:tblPr>
        <w:tblW w:w="0" w:type="auto"/>
        <w:tblInd w:w="48" w:type="dxa"/>
        <w:tblLayout w:type="fixed"/>
        <w:tblCellMar>
          <w:left w:w="48" w:type="dxa"/>
        </w:tblCellMar>
        <w:tblLook w:val="0000"/>
      </w:tblPr>
      <w:tblGrid>
        <w:gridCol w:w="5223"/>
        <w:gridCol w:w="5224"/>
      </w:tblGrid>
      <w:tr w:rsidR="000135F8">
        <w:trPr>
          <w:trHeight w:val="647"/>
        </w:trPr>
        <w:tc>
          <w:tcPr>
            <w:tcW w:w="5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4009" w:rsidRDefault="000135F8" w:rsidP="00E54009">
            <w:pPr>
              <w:spacing w:after="0" w:line="240" w:lineRule="auto"/>
              <w:jc w:val="center"/>
              <w:rPr>
                <w:rFonts w:ascii="Tahoma" w:eastAsia="Tahoma" w:hAnsi="Tahoma" w:cs="Tahoma"/>
                <w:kern w:val="0"/>
              </w:rPr>
            </w:pPr>
            <w:r>
              <w:rPr>
                <w:b/>
                <w:sz w:val="16"/>
                <w:szCs w:val="16"/>
              </w:rPr>
              <w:br/>
            </w:r>
            <w:proofErr w:type="spellStart"/>
            <w:r w:rsidR="00E54009">
              <w:rPr>
                <w:rFonts w:ascii="Tahoma" w:eastAsia="Tahoma" w:hAnsi="Tahoma" w:cs="Tahoma"/>
                <w:kern w:val="0"/>
              </w:rPr>
              <w:t>Република</w:t>
            </w:r>
            <w:proofErr w:type="spellEnd"/>
            <w:r w:rsidR="00E54009"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 w:rsidR="00E54009">
              <w:rPr>
                <w:rFonts w:ascii="Tahoma" w:eastAsia="Tahoma" w:hAnsi="Tahoma" w:cs="Tahoma"/>
                <w:kern w:val="0"/>
              </w:rPr>
              <w:t>Србија</w:t>
            </w:r>
            <w:proofErr w:type="spellEnd"/>
          </w:p>
          <w:p w:rsidR="00E54009" w:rsidRDefault="00E54009" w:rsidP="00E54009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Аутономна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Покрајина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Војводина</w:t>
            </w:r>
            <w:proofErr w:type="spellEnd"/>
          </w:p>
          <w:p w:rsidR="00E54009" w:rsidRDefault="00E54009" w:rsidP="00E54009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Општина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Бечеј</w:t>
            </w:r>
            <w:proofErr w:type="spellEnd"/>
          </w:p>
          <w:p w:rsidR="00E54009" w:rsidRDefault="00E54009" w:rsidP="00E54009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Општинска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управа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Бечеј</w:t>
            </w:r>
            <w:proofErr w:type="spellEnd"/>
          </w:p>
          <w:p w:rsidR="00E54009" w:rsidRDefault="00E54009" w:rsidP="00E54009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Одељење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за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урбанизам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грађевинарство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>,</w:t>
            </w:r>
          </w:p>
          <w:p w:rsidR="00110B46" w:rsidRPr="00110B46" w:rsidRDefault="00110B46" w:rsidP="00E54009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r>
              <w:rPr>
                <w:rFonts w:ascii="Tahoma" w:eastAsia="Tahoma" w:hAnsi="Tahoma" w:cs="Tahoma"/>
                <w:kern w:val="0"/>
              </w:rPr>
              <w:t>имовинско-правне послове</w:t>
            </w:r>
          </w:p>
          <w:p w:rsidR="00E54009" w:rsidRDefault="00E54009" w:rsidP="00E54009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комуналне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послове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саобраћај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</w:p>
          <w:p w:rsidR="00E54009" w:rsidRDefault="00E54009" w:rsidP="00E54009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r>
              <w:rPr>
                <w:rFonts w:ascii="Tahoma" w:eastAsia="Tahoma" w:hAnsi="Tahoma" w:cs="Tahoma"/>
                <w:kern w:val="0"/>
              </w:rPr>
              <w:t xml:space="preserve">и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инспекцијски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надзор</w:t>
            </w:r>
            <w:proofErr w:type="spellEnd"/>
          </w:p>
          <w:p w:rsidR="00E54009" w:rsidRDefault="00E54009" w:rsidP="00E54009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Одсек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за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инспекцијски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надзор</w:t>
            </w:r>
            <w:proofErr w:type="spellEnd"/>
          </w:p>
          <w:p w:rsidR="00E54009" w:rsidRDefault="00E54009" w:rsidP="00E54009">
            <w:pPr>
              <w:pStyle w:val="NoSpacing"/>
              <w:jc w:val="center"/>
              <w:rPr>
                <w:rFonts w:ascii="Tahoma" w:hAnsi="Tahoma" w:cs="Tahoma"/>
                <w:b/>
                <w:kern w:val="2"/>
              </w:rPr>
            </w:pPr>
            <w:r>
              <w:rPr>
                <w:rFonts w:ascii="Tahoma" w:hAnsi="Tahoma" w:cs="Tahoma"/>
                <w:b/>
              </w:rPr>
              <w:t>Комунална инспекција</w:t>
            </w:r>
          </w:p>
          <w:p w:rsidR="000135F8" w:rsidRDefault="000135F8">
            <w:pPr>
              <w:spacing w:after="0" w:line="240" w:lineRule="auto"/>
              <w:ind w:left="-86"/>
              <w:jc w:val="center"/>
            </w:pP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center"/>
              <w:rPr>
                <w:rFonts w:ascii="Tahoma" w:hAnsi="Tahoma" w:cs="Tahoma"/>
                <w:lang w:val="sr-Latn-CS"/>
              </w:rPr>
            </w:pPr>
          </w:p>
          <w:p w:rsidR="000135F8" w:rsidRDefault="000135F8">
            <w:pPr>
              <w:spacing w:after="0" w:line="240" w:lineRule="auto"/>
              <w:jc w:val="center"/>
              <w:rPr>
                <w:rFonts w:ascii="Tahoma" w:hAnsi="Tahoma" w:cs="Tahoma"/>
                <w:lang w:val="sr-Latn-CS"/>
              </w:rPr>
            </w:pPr>
          </w:p>
          <w:p w:rsidR="000135F8" w:rsidRDefault="000135F8">
            <w:pPr>
              <w:spacing w:after="0" w:line="240" w:lineRule="auto"/>
              <w:jc w:val="center"/>
              <w:rPr>
                <w:rFonts w:ascii="Tahoma" w:hAnsi="Tahoma" w:cs="Tahoma"/>
                <w:lang w:val="sr-Latn-CS"/>
              </w:rPr>
            </w:pPr>
          </w:p>
          <w:p w:rsidR="000135F8" w:rsidRDefault="000135F8">
            <w:pPr>
              <w:spacing w:after="0" w:line="240" w:lineRule="auto"/>
              <w:jc w:val="center"/>
              <w:rPr>
                <w:rFonts w:ascii="Tahoma" w:hAnsi="Tahoma" w:cs="Tahoma"/>
                <w:lang w:val="sr-Latn-CS"/>
              </w:rPr>
            </w:pPr>
          </w:p>
          <w:p w:rsidR="000135F8" w:rsidRDefault="000135F8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lang w:val="sr-Latn-CS"/>
              </w:rPr>
              <w:t>О</w:t>
            </w:r>
            <w:r>
              <w:rPr>
                <w:rFonts w:cs="Tahoma"/>
                <w:lang w:val="sr-Latn-CS"/>
              </w:rPr>
              <w:t>длук</w:t>
            </w:r>
            <w:r>
              <w:rPr>
                <w:rFonts w:cs="Tahoma"/>
              </w:rPr>
              <w:t>а</w:t>
            </w:r>
            <w:r>
              <w:rPr>
                <w:rFonts w:cs="Tahoma"/>
                <w:lang w:val="sr-Latn-CS"/>
              </w:rPr>
              <w:t xml:space="preserve"> о радном времену угоститељских, трговинских и занатских објеката на територији општине Бечеј (“Сл. лист општине Бечеј”, бр. 8/14</w:t>
            </w:r>
            <w:r w:rsidR="00110B46">
              <w:rPr>
                <w:rFonts w:cs="Tahoma"/>
                <w:lang w:val="sr-Latn-CS"/>
              </w:rPr>
              <w:t>,</w:t>
            </w:r>
            <w:r w:rsidR="00110B46">
              <w:rPr>
                <w:rFonts w:cs="Tahoma"/>
              </w:rPr>
              <w:t xml:space="preserve"> </w:t>
            </w:r>
            <w:r w:rsidR="00110B46">
              <w:rPr>
                <w:rFonts w:cs="Tahoma"/>
                <w:lang w:val="sr-Latn-CS"/>
              </w:rPr>
              <w:t>9/15 и 1</w:t>
            </w:r>
            <w:r w:rsidR="00110B46">
              <w:rPr>
                <w:rFonts w:cs="Tahoma"/>
              </w:rPr>
              <w:t>1/18</w:t>
            </w:r>
            <w:r>
              <w:rPr>
                <w:rFonts w:cs="Tahoma"/>
                <w:lang w:val="sr-Latn-CS"/>
              </w:rPr>
              <w:t>)</w:t>
            </w:r>
          </w:p>
        </w:tc>
      </w:tr>
      <w:tr w:rsidR="000135F8">
        <w:trPr>
          <w:trHeight w:val="647"/>
        </w:trPr>
        <w:tc>
          <w:tcPr>
            <w:tcW w:w="10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  <w:p w:rsidR="000135F8" w:rsidRDefault="000135F8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 xml:space="preserve">                                               ОПШТЕ ИНФОРМАЦИЈЕ О ИНСПЕКЦИЈСКОМ НАДЗОРУ</w:t>
            </w:r>
          </w:p>
        </w:tc>
      </w:tr>
      <w:tr w:rsidR="000135F8"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</w:pPr>
            <w:r>
              <w:rPr>
                <w:b/>
              </w:rPr>
              <w:t>Део 1.  Опште информације</w:t>
            </w:r>
          </w:p>
        </w:tc>
      </w:tr>
      <w:tr w:rsidR="000135F8"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Општинска управа Бечеј</w:t>
            </w:r>
          </w:p>
          <w:p w:rsidR="000135F8" w:rsidRDefault="000135F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Одсек за </w:t>
            </w:r>
            <w:r w:rsidR="00110B46">
              <w:rPr>
                <w:sz w:val="20"/>
                <w:szCs w:val="20"/>
              </w:rPr>
              <w:t>инспекцијски надзор</w:t>
            </w:r>
            <w:r>
              <w:rPr>
                <w:sz w:val="20"/>
                <w:szCs w:val="20"/>
              </w:rPr>
              <w:t xml:space="preserve"> - Комунална инспекција:</w:t>
            </w:r>
          </w:p>
          <w:p w:rsidR="000135F8" w:rsidRDefault="000135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  Комунални инспектор:………………………………………………………………………………………………………………………………………………….</w:t>
            </w:r>
          </w:p>
          <w:p w:rsidR="000135F8" w:rsidRDefault="000135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  Укључени редар: …………………………………………………………………………………………………………………………………………………………..</w:t>
            </w:r>
          </w:p>
          <w:p w:rsidR="000135F8" w:rsidRDefault="000135F8">
            <w:pPr>
              <w:spacing w:after="0" w:line="240" w:lineRule="auto"/>
            </w:pPr>
            <w:r>
              <w:rPr>
                <w:sz w:val="20"/>
                <w:szCs w:val="20"/>
              </w:rPr>
              <w:t>1.5   Датум инспекцијског надзора: …………………………………………………………………………………………………………………………………….</w:t>
            </w:r>
          </w:p>
        </w:tc>
      </w:tr>
      <w:tr w:rsidR="000135F8">
        <w:trPr>
          <w:trHeight w:val="1231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</w:pPr>
            <w:r>
              <w:rPr>
                <w:sz w:val="20"/>
                <w:szCs w:val="20"/>
              </w:rPr>
              <w:t>1.6   Врста инспекцијског надзора</w:t>
            </w:r>
          </w:p>
          <w:p w:rsidR="000135F8" w:rsidRDefault="000135F8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□ </w:t>
            </w:r>
            <w:r>
              <w:rPr>
                <w:sz w:val="20"/>
                <w:szCs w:val="20"/>
              </w:rPr>
              <w:t>Редовни</w:t>
            </w:r>
          </w:p>
          <w:p w:rsidR="000135F8" w:rsidRDefault="000135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□ Ванредни</w:t>
            </w:r>
          </w:p>
          <w:p w:rsidR="000135F8" w:rsidRDefault="000135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□ Контролни</w:t>
            </w:r>
          </w:p>
          <w:p w:rsidR="000135F8" w:rsidRDefault="000135F8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□ Допунски </w:t>
            </w:r>
          </w:p>
        </w:tc>
      </w:tr>
      <w:tr w:rsidR="000135F8">
        <w:trPr>
          <w:trHeight w:val="245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</w:pPr>
            <w:r>
              <w:rPr>
                <w:sz w:val="20"/>
                <w:szCs w:val="20"/>
              </w:rPr>
              <w:t>1.7   Инспекцијски надзор према облику:</w:t>
            </w:r>
          </w:p>
          <w:p w:rsidR="000135F8" w:rsidRDefault="000135F8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□ </w:t>
            </w:r>
            <w:r>
              <w:rPr>
                <w:sz w:val="20"/>
                <w:szCs w:val="20"/>
              </w:rPr>
              <w:t>Теренски</w:t>
            </w:r>
          </w:p>
          <w:p w:rsidR="000135F8" w:rsidRDefault="000135F8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□ Канцеларијски </w:t>
            </w:r>
          </w:p>
        </w:tc>
      </w:tr>
      <w:tr w:rsidR="000135F8">
        <w:trPr>
          <w:trHeight w:val="773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1.8   Налог за инспекцијски надзор:</w:t>
            </w:r>
          </w:p>
          <w:p w:rsidR="000135F8" w:rsidRDefault="000135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□ </w:t>
            </w:r>
            <w:r>
              <w:rPr>
                <w:sz w:val="20"/>
                <w:szCs w:val="20"/>
              </w:rPr>
              <w:t>Да</w:t>
            </w:r>
          </w:p>
          <w:p w:rsidR="000135F8" w:rsidRDefault="000135F8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cs="Calibri"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Не </w:t>
            </w:r>
          </w:p>
        </w:tc>
      </w:tr>
      <w:tr w:rsidR="000135F8">
        <w:trPr>
          <w:trHeight w:val="710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  <w:p w:rsidR="000135F8" w:rsidRDefault="000135F8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ИНФОРМАЦИЈЕ О КОНТРОЛИСАНОМ СУБЈЕКТУ</w:t>
            </w:r>
          </w:p>
        </w:tc>
      </w:tr>
      <w:tr w:rsidR="000135F8">
        <w:trPr>
          <w:trHeight w:val="40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</w:pPr>
            <w:r>
              <w:rPr>
                <w:b/>
              </w:rPr>
              <w:t>Део 2.  Правно/физичко лице, предузетник</w:t>
            </w:r>
          </w:p>
        </w:tc>
      </w:tr>
      <w:tr w:rsidR="000135F8">
        <w:trPr>
          <w:trHeight w:val="440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</w:pPr>
            <w:r>
              <w:rPr>
                <w:sz w:val="20"/>
                <w:szCs w:val="20"/>
              </w:rPr>
              <w:t>2.1.   Подаци о контролисаном субјекту</w:t>
            </w: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</w:pPr>
            <w:r>
              <w:rPr>
                <w:sz w:val="20"/>
                <w:szCs w:val="20"/>
              </w:rPr>
              <w:t>2.1.1.   Назив/име и презиме субјекта: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</w:pPr>
            <w:r>
              <w:rPr>
                <w:sz w:val="20"/>
                <w:szCs w:val="20"/>
              </w:rPr>
              <w:t>2.1.2.   Адреса (улица и број):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</w:pPr>
            <w:r>
              <w:rPr>
                <w:sz w:val="20"/>
                <w:szCs w:val="20"/>
              </w:rPr>
              <w:t>2.1.3.   Место: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2.1.4.   Град/Општина: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2.1.5.   Поштански број: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2.1.6.   Телефон/Факс: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2.1.7.   Е-</w:t>
            </w:r>
            <w:r>
              <w:rPr>
                <w:sz w:val="20"/>
                <w:szCs w:val="20"/>
                <w:lang w:val="sr-Latn-C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2.1.8.   Интернет адреса: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2.1.9.   ПИБ: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2.1.10. Матични број: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2.1.11. Бр. личне карте (за физичка лица)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val="26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b/>
              </w:rPr>
              <w:t>Део 3.   Пословни простор</w:t>
            </w:r>
          </w:p>
        </w:tc>
      </w:tr>
      <w:tr w:rsidR="000135F8">
        <w:trPr>
          <w:trHeight w:val="422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   Локација пословног простора у ком је вршен инспекцијски надзор</w:t>
            </w: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lastRenderedPageBreak/>
              <w:t>3.1.1.    Адреса (улица и број):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3.1.2.    Место: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3.1.3.    Општина: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3.1.4.    Поштански број: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35F8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3.1.5.    Телефон/Факс: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35F8" w:rsidRDefault="000135F8">
      <w:pPr>
        <w:spacing w:after="0" w:line="240" w:lineRule="auto"/>
        <w:jc w:val="both"/>
        <w:rPr>
          <w:b/>
          <w:sz w:val="36"/>
          <w:szCs w:val="36"/>
        </w:rPr>
      </w:pPr>
    </w:p>
    <w:tbl>
      <w:tblPr>
        <w:tblW w:w="10443" w:type="dxa"/>
        <w:tblInd w:w="48" w:type="dxa"/>
        <w:tblLayout w:type="fixed"/>
        <w:tblCellMar>
          <w:left w:w="48" w:type="dxa"/>
        </w:tblCellMar>
        <w:tblLook w:val="0000"/>
      </w:tblPr>
      <w:tblGrid>
        <w:gridCol w:w="7545"/>
        <w:gridCol w:w="2898"/>
      </w:tblGrid>
      <w:tr w:rsidR="000135F8" w:rsidTr="002507C5">
        <w:trPr>
          <w:trHeight w:val="713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0135F8" w:rsidRDefault="000135F8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     ИНСПЕКЦИЈСКИ  ПРЕГЛЕД</w:t>
            </w:r>
          </w:p>
        </w:tc>
      </w:tr>
      <w:tr w:rsidR="000135F8" w:rsidTr="002507C5">
        <w:trPr>
          <w:trHeight w:val="180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both"/>
            </w:pPr>
            <w:r>
              <w:rPr>
                <w:b/>
                <w:lang w:val="sr-Cyrl-CS"/>
              </w:rPr>
              <w:t>Део 4.  Радно време у угоститељству, занатству и трговини</w:t>
            </w:r>
          </w:p>
        </w:tc>
      </w:tr>
      <w:tr w:rsidR="000135F8" w:rsidTr="002507C5">
        <w:trPr>
          <w:trHeight w:val="412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</w:pPr>
            <w:r>
              <w:rPr>
                <w:b/>
                <w:sz w:val="20"/>
                <w:szCs w:val="20"/>
                <w:lang w:val="sr-Cyrl-CS"/>
              </w:rPr>
              <w:t>4.1.    ОПШТЕ ОДРЕДБЕ</w:t>
            </w:r>
          </w:p>
        </w:tc>
      </w:tr>
      <w:tr w:rsidR="000135F8" w:rsidTr="002507C5">
        <w:trPr>
          <w:trHeight w:val="217"/>
        </w:trPr>
        <w:tc>
          <w:tcPr>
            <w:tcW w:w="7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</w:pPr>
            <w:r>
              <w:rPr>
                <w:sz w:val="20"/>
                <w:szCs w:val="20"/>
                <w:lang w:val="sr-Cyrl-CS"/>
              </w:rPr>
              <w:t xml:space="preserve">4.1.1.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sr-Cyrl-CS"/>
              </w:rPr>
              <w:t xml:space="preserve">адно време </w:t>
            </w:r>
            <w:r>
              <w:rPr>
                <w:sz w:val="20"/>
                <w:szCs w:val="20"/>
              </w:rPr>
              <w:t>објекта истакнуто на видном месту</w:t>
            </w:r>
            <w:r>
              <w:rPr>
                <w:sz w:val="20"/>
                <w:szCs w:val="20"/>
                <w:lang w:val="sr-Cyrl-CS"/>
              </w:rPr>
              <w:t xml:space="preserve">                                            </w:t>
            </w:r>
          </w:p>
        </w:tc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 w:rsidP="002507C5">
            <w:p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>
              <w:rPr>
                <w:rFonts w:cs="Calibr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 -</w:t>
            </w:r>
            <w:r w:rsidR="002507C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cs="Calibr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Не - 0</w:t>
            </w:r>
          </w:p>
        </w:tc>
      </w:tr>
      <w:tr w:rsidR="000135F8" w:rsidTr="002507C5">
        <w:trPr>
          <w:trHeight w:val="305"/>
        </w:trPr>
        <w:tc>
          <w:tcPr>
            <w:tcW w:w="7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135F8" w:rsidRDefault="000135F8">
            <w:pPr>
              <w:spacing w:after="0" w:line="240" w:lineRule="auto"/>
            </w:pPr>
            <w:r>
              <w:rPr>
                <w:sz w:val="20"/>
                <w:szCs w:val="20"/>
                <w:lang w:val="sr-Cyrl-CS"/>
              </w:rPr>
              <w:t xml:space="preserve">4.1.2. Придржава се прописаног радног времена                  </w:t>
            </w:r>
          </w:p>
        </w:tc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 w:rsidP="002507C5">
            <w:p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>
              <w:rPr>
                <w:rFonts w:cs="Calibr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  </w:t>
            </w:r>
            <w:r w:rsidR="002507C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cs="Calibr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Не - 0</w:t>
            </w:r>
          </w:p>
        </w:tc>
      </w:tr>
      <w:tr w:rsidR="002507C5" w:rsidTr="002507C5">
        <w:trPr>
          <w:trHeight w:val="305"/>
        </w:trPr>
        <w:tc>
          <w:tcPr>
            <w:tcW w:w="7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507C5" w:rsidRPr="002507C5" w:rsidRDefault="002507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507C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4.1.3. Надзирани субјекат је омогућио комуналном инспектору неометано вршење послова, приступ објекту и ставио је на увид сва потребна документа</w:t>
            </w:r>
          </w:p>
        </w:tc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7C5" w:rsidRDefault="002507C5" w:rsidP="002507C5">
            <w:p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>
              <w:rPr>
                <w:rFonts w:cs="Calibr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  10           </w:t>
            </w:r>
            <w:r>
              <w:rPr>
                <w:rFonts w:cs="Calibr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Не - 0</w:t>
            </w:r>
          </w:p>
        </w:tc>
      </w:tr>
    </w:tbl>
    <w:p w:rsidR="000135F8" w:rsidRDefault="000135F8">
      <w:pPr>
        <w:rPr>
          <w:rFonts w:ascii="Times New Roman" w:eastAsia="Times New Roman" w:hAnsi="Times New Roman" w:cs="Times New Roman"/>
          <w:szCs w:val="20"/>
          <w:lang w:val="sr-Cyrl-CS"/>
        </w:rPr>
      </w:pPr>
      <w:bookmarkStart w:id="0" w:name="_GoBack"/>
      <w:bookmarkEnd w:id="0"/>
    </w:p>
    <w:p w:rsidR="000135F8" w:rsidRDefault="000135F8">
      <w:pPr>
        <w:spacing w:before="360"/>
        <w:jc w:val="center"/>
        <w:rPr>
          <w:b/>
        </w:rPr>
      </w:pPr>
      <w:r>
        <w:rPr>
          <w:b/>
        </w:rPr>
        <w:t>РЕЗУЛТАТ НАДЗОРА У БОДОВИМА:</w:t>
      </w:r>
    </w:p>
    <w:p w:rsidR="009A4234" w:rsidRPr="006827C0" w:rsidRDefault="009A4234" w:rsidP="009A4234">
      <w:pPr>
        <w:spacing w:line="240" w:lineRule="auto"/>
        <w:jc w:val="center"/>
        <w:rPr>
          <w:rFonts w:eastAsia="Times New Roman" w:cs="Calibri"/>
          <w:b/>
          <w:lang/>
        </w:rPr>
      </w:pPr>
      <w:proofErr w:type="spellStart"/>
      <w:r>
        <w:rPr>
          <w:rFonts w:eastAsia="Times New Roman" w:cs="Calibri"/>
          <w:b/>
        </w:rPr>
        <w:t>Максималан</w:t>
      </w:r>
      <w:proofErr w:type="spellEnd"/>
      <w:r>
        <w:rPr>
          <w:rFonts w:eastAsia="Times New Roman" w:cs="Calibri"/>
          <w:b/>
        </w:rPr>
        <w:t xml:space="preserve"> </w:t>
      </w:r>
      <w:proofErr w:type="spellStart"/>
      <w:r>
        <w:rPr>
          <w:rFonts w:eastAsia="Times New Roman" w:cs="Calibri"/>
          <w:b/>
        </w:rPr>
        <w:t>број</w:t>
      </w:r>
      <w:proofErr w:type="spellEnd"/>
      <w:r>
        <w:rPr>
          <w:rFonts w:eastAsia="Times New Roman" w:cs="Calibri"/>
          <w:b/>
        </w:rPr>
        <w:t xml:space="preserve"> </w:t>
      </w:r>
      <w:proofErr w:type="spellStart"/>
      <w:r>
        <w:rPr>
          <w:rFonts w:eastAsia="Times New Roman" w:cs="Calibri"/>
          <w:b/>
        </w:rPr>
        <w:t>бодова</w:t>
      </w:r>
      <w:proofErr w:type="spellEnd"/>
      <w:r>
        <w:rPr>
          <w:rFonts w:eastAsia="Times New Roman" w:cs="Calibri"/>
          <w:b/>
        </w:rPr>
        <w:t xml:space="preserve"> </w:t>
      </w:r>
      <w:r>
        <w:rPr>
          <w:rFonts w:eastAsia="Times New Roman" w:cs="Calibri"/>
          <w:b/>
          <w:lang/>
        </w:rPr>
        <w:t>30</w:t>
      </w:r>
      <w:r>
        <w:rPr>
          <w:rFonts w:eastAsia="Times New Roman" w:cs="Calibri"/>
          <w:b/>
        </w:rPr>
        <w:t xml:space="preserve">                                                                            </w:t>
      </w:r>
      <w:proofErr w:type="spellStart"/>
      <w:r w:rsidRPr="0027708A">
        <w:rPr>
          <w:rFonts w:eastAsia="Times New Roman" w:cs="Calibri"/>
          <w:b/>
        </w:rPr>
        <w:t>Утврђен</w:t>
      </w:r>
      <w:proofErr w:type="spellEnd"/>
      <w:r w:rsidRPr="0027708A">
        <w:rPr>
          <w:rFonts w:eastAsia="Times New Roman" w:cs="Calibri"/>
          <w:b/>
        </w:rPr>
        <w:t xml:space="preserve"> </w:t>
      </w:r>
      <w:proofErr w:type="spellStart"/>
      <w:r w:rsidRPr="0027708A">
        <w:rPr>
          <w:rFonts w:eastAsia="Times New Roman" w:cs="Calibri"/>
          <w:b/>
        </w:rPr>
        <w:t>број</w:t>
      </w:r>
      <w:proofErr w:type="spellEnd"/>
      <w:r w:rsidRPr="0027708A">
        <w:rPr>
          <w:rFonts w:eastAsia="Times New Roman" w:cs="Calibri"/>
          <w:b/>
        </w:rPr>
        <w:t xml:space="preserve"> </w:t>
      </w:r>
      <w:proofErr w:type="spellStart"/>
      <w:r w:rsidRPr="0027708A">
        <w:rPr>
          <w:rFonts w:eastAsia="Times New Roman" w:cs="Calibri"/>
          <w:b/>
        </w:rPr>
        <w:t>бодова</w:t>
      </w:r>
      <w:proofErr w:type="spellEnd"/>
      <w:r>
        <w:rPr>
          <w:rFonts w:eastAsia="Times New Roman" w:cs="Calibri"/>
          <w:b/>
          <w:lang/>
        </w:rPr>
        <w:t>________</w:t>
      </w:r>
    </w:p>
    <w:p w:rsidR="000135F8" w:rsidRDefault="000135F8">
      <w:pPr>
        <w:spacing w:before="24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0" w:type="auto"/>
        <w:tblInd w:w="2798" w:type="dxa"/>
        <w:tblLayout w:type="fixed"/>
        <w:tblCellMar>
          <w:left w:w="103" w:type="dxa"/>
        </w:tblCellMar>
        <w:tblLook w:val="0000"/>
      </w:tblPr>
      <w:tblGrid>
        <w:gridCol w:w="2700"/>
        <w:gridCol w:w="2609"/>
      </w:tblGrid>
      <w:tr w:rsidR="000135F8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35F8" w:rsidRDefault="000135F8">
            <w:pPr>
              <w:spacing w:after="0" w:line="240" w:lineRule="auto"/>
              <w:jc w:val="center"/>
            </w:pPr>
            <w:r>
              <w:rPr>
                <w:b/>
              </w:rPr>
              <w:t>Степен ризика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center"/>
            </w:pPr>
            <w:r>
              <w:rPr>
                <w:b/>
              </w:rPr>
              <w:t>Распон бодова</w:t>
            </w:r>
          </w:p>
        </w:tc>
      </w:tr>
      <w:tr w:rsidR="000135F8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center"/>
            </w:pPr>
            <w:r>
              <w:rPr>
                <w:b/>
              </w:rPr>
              <w:t>Незнатан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 w:rsidP="002507C5">
            <w:pPr>
              <w:spacing w:after="0" w:line="240" w:lineRule="auto"/>
              <w:jc w:val="center"/>
            </w:pPr>
            <w:r>
              <w:rPr>
                <w:b/>
              </w:rPr>
              <w:t xml:space="preserve">20 - </w:t>
            </w:r>
            <w:r w:rsidR="002507C5">
              <w:rPr>
                <w:b/>
              </w:rPr>
              <w:t>30</w:t>
            </w:r>
          </w:p>
        </w:tc>
      </w:tr>
      <w:tr w:rsidR="000135F8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center"/>
            </w:pPr>
            <w:r>
              <w:rPr>
                <w:b/>
              </w:rPr>
              <w:t>Низак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center"/>
            </w:pPr>
          </w:p>
        </w:tc>
      </w:tr>
      <w:tr w:rsidR="000135F8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center"/>
            </w:pPr>
            <w:r>
              <w:rPr>
                <w:b/>
              </w:rPr>
              <w:t>Средњи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2507C5" w:rsidP="002507C5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  <w:r w:rsidR="000135F8">
              <w:rPr>
                <w:b/>
              </w:rPr>
              <w:t xml:space="preserve"> - </w:t>
            </w:r>
            <w:r>
              <w:rPr>
                <w:b/>
              </w:rPr>
              <w:t>20</w:t>
            </w:r>
          </w:p>
        </w:tc>
      </w:tr>
      <w:tr w:rsidR="000135F8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center"/>
            </w:pPr>
            <w:r>
              <w:rPr>
                <w:b/>
              </w:rPr>
              <w:t>Висок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center"/>
            </w:pPr>
          </w:p>
        </w:tc>
      </w:tr>
      <w:tr w:rsidR="000135F8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>
            <w:pPr>
              <w:spacing w:after="0" w:line="240" w:lineRule="auto"/>
              <w:jc w:val="center"/>
            </w:pPr>
            <w:r>
              <w:rPr>
                <w:b/>
              </w:rPr>
              <w:t>Критичан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5F8" w:rsidRDefault="000135F8" w:rsidP="002507C5">
            <w:pPr>
              <w:spacing w:after="0" w:line="240" w:lineRule="auto"/>
              <w:jc w:val="center"/>
            </w:pPr>
            <w:r>
              <w:rPr>
                <w:b/>
              </w:rPr>
              <w:t xml:space="preserve">0 - </w:t>
            </w:r>
            <w:r w:rsidR="002507C5">
              <w:rPr>
                <w:b/>
              </w:rPr>
              <w:t>10</w:t>
            </w:r>
          </w:p>
        </w:tc>
      </w:tr>
    </w:tbl>
    <w:p w:rsidR="000135F8" w:rsidRDefault="000135F8">
      <w:pPr>
        <w:jc w:val="both"/>
        <w:rPr>
          <w:b/>
        </w:rPr>
      </w:pPr>
    </w:p>
    <w:p w:rsidR="000135F8" w:rsidRDefault="000135F8">
      <w:pPr>
        <w:jc w:val="both"/>
        <w:rPr>
          <w:b/>
        </w:rPr>
      </w:pPr>
    </w:p>
    <w:p w:rsidR="000135F8" w:rsidRDefault="000135F8">
      <w:pPr>
        <w:jc w:val="both"/>
        <w:rPr>
          <w:b/>
        </w:rPr>
      </w:pPr>
    </w:p>
    <w:p w:rsidR="000135F8" w:rsidRDefault="000135F8">
      <w:pPr>
        <w:jc w:val="both"/>
        <w:rPr>
          <w:b/>
        </w:rPr>
      </w:pPr>
      <w:r>
        <w:rPr>
          <w:b/>
        </w:rPr>
        <w:t>Присутно лице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0135F8" w:rsidRDefault="000135F8">
      <w:pPr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 ____________________</w:t>
      </w:r>
    </w:p>
    <w:p w:rsidR="000135F8" w:rsidRDefault="000135F8">
      <w:pPr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  <w:t xml:space="preserve">2. ____________________ </w:t>
      </w:r>
    </w:p>
    <w:p w:rsidR="000135F8" w:rsidRDefault="000135F8">
      <w:r>
        <w:rPr>
          <w:rFonts w:ascii="Times New Roman" w:eastAsia="Times New Roman" w:hAnsi="Times New Roman" w:cs="Times New Roman"/>
          <w:szCs w:val="20"/>
          <w:lang w:val="sr-Cyrl-CS"/>
        </w:rPr>
        <w:t xml:space="preserve"> </w:t>
      </w:r>
    </w:p>
    <w:sectPr w:rsidR="000135F8" w:rsidSect="005960E0">
      <w:pgSz w:w="11906" w:h="16838"/>
      <w:pgMar w:top="1134" w:right="1134" w:bottom="567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54009"/>
    <w:rsid w:val="000135F8"/>
    <w:rsid w:val="00110B46"/>
    <w:rsid w:val="002507C5"/>
    <w:rsid w:val="005960E0"/>
    <w:rsid w:val="009A4234"/>
    <w:rsid w:val="00E5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E0"/>
    <w:pPr>
      <w:suppressAutoHyphens/>
      <w:spacing w:after="200" w:line="276" w:lineRule="auto"/>
    </w:pPr>
    <w:rPr>
      <w:rFonts w:ascii="Calibri" w:eastAsia="Calibri" w:hAnsi="Calibri" w:cs="font353"/>
      <w:color w:val="00000A"/>
      <w:kern w:val="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rsid w:val="005960E0"/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BalloonTextChar">
    <w:name w:val="Balloon Text Char"/>
    <w:basedOn w:val="DefaultParagraphFont"/>
    <w:rsid w:val="005960E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al"/>
    <w:next w:val="BodyText"/>
    <w:rsid w:val="005960E0"/>
    <w:pPr>
      <w:keepNext/>
      <w:spacing w:before="240" w:after="120"/>
    </w:pPr>
    <w:rPr>
      <w:rFonts w:ascii="Tahoma" w:eastAsia="Arial Unicode MS" w:hAnsi="Tahoma" w:cs="Mangal"/>
      <w:sz w:val="28"/>
      <w:szCs w:val="28"/>
    </w:rPr>
  </w:style>
  <w:style w:type="paragraph" w:styleId="BodyText">
    <w:name w:val="Body Text"/>
    <w:basedOn w:val="Normal"/>
    <w:rsid w:val="005960E0"/>
    <w:pPr>
      <w:spacing w:after="140" w:line="288" w:lineRule="auto"/>
    </w:pPr>
  </w:style>
  <w:style w:type="paragraph" w:styleId="List">
    <w:name w:val="List"/>
    <w:basedOn w:val="BodyText"/>
    <w:rsid w:val="005960E0"/>
    <w:rPr>
      <w:rFonts w:ascii="Tahoma" w:hAnsi="Tahoma" w:cs="Mangal"/>
    </w:rPr>
  </w:style>
  <w:style w:type="paragraph" w:styleId="Caption">
    <w:name w:val="caption"/>
    <w:basedOn w:val="Normal"/>
    <w:qFormat/>
    <w:rsid w:val="005960E0"/>
    <w:pPr>
      <w:suppressLineNumbers/>
      <w:spacing w:before="120" w:after="120"/>
    </w:pPr>
    <w:rPr>
      <w:rFonts w:ascii="Tahoma" w:hAnsi="Tahoma" w:cs="Mangal"/>
      <w:i/>
      <w:iCs/>
      <w:szCs w:val="24"/>
    </w:rPr>
  </w:style>
  <w:style w:type="paragraph" w:customStyle="1" w:styleId="Trgymutat">
    <w:name w:val="Tárgymutató"/>
    <w:basedOn w:val="Normal"/>
    <w:rsid w:val="005960E0"/>
    <w:pPr>
      <w:suppressLineNumbers/>
    </w:pPr>
    <w:rPr>
      <w:rFonts w:ascii="Tahoma" w:hAnsi="Tahoma" w:cs="Mangal"/>
    </w:rPr>
  </w:style>
  <w:style w:type="paragraph" w:customStyle="1" w:styleId="a">
    <w:name w:val="Насловљавање"/>
    <w:basedOn w:val="Normal"/>
    <w:rsid w:val="005960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0">
    <w:name w:val="Тело текста"/>
    <w:basedOn w:val="Normal"/>
    <w:rsid w:val="005960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a1">
    <w:name w:val="Листа"/>
    <w:basedOn w:val="a0"/>
    <w:rsid w:val="005960E0"/>
    <w:rPr>
      <w:rFonts w:cs="Arial"/>
    </w:rPr>
  </w:style>
  <w:style w:type="paragraph" w:customStyle="1" w:styleId="a2">
    <w:name w:val="Натпис"/>
    <w:basedOn w:val="Normal"/>
    <w:rsid w:val="005960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Индекс"/>
    <w:basedOn w:val="Normal"/>
    <w:rsid w:val="005960E0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5960E0"/>
    <w:pPr>
      <w:ind w:left="720"/>
      <w:contextualSpacing/>
    </w:pPr>
  </w:style>
  <w:style w:type="paragraph" w:styleId="NoSpacing">
    <w:name w:val="No Spacing"/>
    <w:qFormat/>
    <w:rsid w:val="005960E0"/>
    <w:pPr>
      <w:suppressAutoHyphens/>
    </w:pPr>
    <w:rPr>
      <w:rFonts w:ascii="Calibri" w:eastAsia="Calibri" w:hAnsi="Calibri" w:cs="font353"/>
      <w:color w:val="00000A"/>
      <w:kern w:val="1"/>
      <w:sz w:val="22"/>
      <w:szCs w:val="22"/>
    </w:rPr>
  </w:style>
  <w:style w:type="paragraph" w:customStyle="1" w:styleId="CharChar">
    <w:name w:val="Char Char"/>
    <w:basedOn w:val="Normal"/>
    <w:rsid w:val="005960E0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rsid w:val="005960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4">
    <w:name w:val="Садржај табеле"/>
    <w:basedOn w:val="Normal"/>
    <w:rsid w:val="005960E0"/>
  </w:style>
  <w:style w:type="paragraph" w:customStyle="1" w:styleId="a5">
    <w:name w:val="Заглавље табеле"/>
    <w:basedOn w:val="a4"/>
    <w:rsid w:val="00596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1D02A-708B-4A29-B29E-85BB4F2B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Lakanovic</dc:creator>
  <cp:lastModifiedBy>Komunalno</cp:lastModifiedBy>
  <cp:revision>3</cp:revision>
  <cp:lastPrinted>2016-04-06T09:49:00Z</cp:lastPrinted>
  <dcterms:created xsi:type="dcterms:W3CDTF">2021-07-08T07:06:00Z</dcterms:created>
  <dcterms:modified xsi:type="dcterms:W3CDTF">2021-08-30T11:17:00Z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