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14D" w:rsidRDefault="004F214D">
      <w:pPr>
        <w:rPr>
          <w:sz w:val="2"/>
          <w:szCs w:val="2"/>
        </w:rPr>
      </w:pPr>
    </w:p>
    <w:p w:rsidR="004F214D" w:rsidRDefault="00654670">
      <w:pPr>
        <w:pStyle w:val="Bodytext20"/>
        <w:shd w:val="clear" w:color="auto" w:fill="auto"/>
        <w:spacing w:before="202"/>
      </w:pPr>
      <w:r>
        <w:t xml:space="preserve">На основу члана 6. став 5., 6. и 7., члана 7а став 2. Закона о порезима на имовину ("Сл. гласник РС", бр. </w:t>
      </w:r>
      <w:r>
        <w:t xml:space="preserve">26/2001, "Сл. лист СРЈ", бр. 42/2002 - одлука СУС и "Сл. гласник РС", бр. 80/2002, 80/2002 - др. закон, 135/2004, 61/2007, 5/2009, 101/2010, 24/2011, 78/2011, 57/2012 - одлука УС, 47/2013, 68/2014 - др. закон, 95/2015 и 99/2018 - одлука УС) члана 36. Став </w:t>
      </w:r>
      <w:r>
        <w:t>1. тачка 3. Самосталних чланова Закона о изменама и допунама Закона о порезима на имовину ("Сл. гласник РС", бр. 47/2013), члана 53. став</w:t>
      </w:r>
    </w:p>
    <w:p w:rsidR="004F214D" w:rsidRDefault="00654670">
      <w:pPr>
        <w:pStyle w:val="Bodytext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480"/>
      </w:pPr>
      <w:r>
        <w:t>тачка 16. Статута општине Бечеј („Службени лист општине Бечеј", број 5/2019), Општинско Веће општине Бечеј донело је н</w:t>
      </w:r>
      <w:r>
        <w:t>а 184. седници одржаној дана 29.11.2019. године</w:t>
      </w:r>
    </w:p>
    <w:p w:rsidR="004F214D" w:rsidRDefault="00654670">
      <w:pPr>
        <w:pStyle w:val="Bodytext30"/>
        <w:shd w:val="clear" w:color="auto" w:fill="auto"/>
        <w:spacing w:before="0"/>
      </w:pPr>
      <w:bookmarkStart w:id="0" w:name="_GoBack"/>
      <w:r>
        <w:t>Р Е Ш Е Њ Е</w:t>
      </w:r>
    </w:p>
    <w:p w:rsidR="004F214D" w:rsidRDefault="00654670">
      <w:pPr>
        <w:pStyle w:val="Bodytext30"/>
        <w:shd w:val="clear" w:color="auto" w:fill="auto"/>
        <w:spacing w:before="0" w:after="480"/>
      </w:pPr>
      <w:r>
        <w:t>О УТВРЂИВАЊУ ПРОСЕЧНЕ ЦЕНЕ КВАДРАТНОГ МЕТРА</w:t>
      </w:r>
      <w:r>
        <w:br/>
        <w:t>НЕПОКРЕТНОСТИ ЗА 2020. ГОДИНУ НА ТЕРИТОРИЈИ ОПШТИНЕ БЕЧЕЈ</w:t>
      </w:r>
    </w:p>
    <w:bookmarkEnd w:id="0"/>
    <w:p w:rsidR="004F214D" w:rsidRDefault="00654670">
      <w:pPr>
        <w:pStyle w:val="Bodytext20"/>
        <w:numPr>
          <w:ilvl w:val="0"/>
          <w:numId w:val="2"/>
        </w:numPr>
        <w:shd w:val="clear" w:color="auto" w:fill="auto"/>
        <w:tabs>
          <w:tab w:val="left" w:pos="314"/>
        </w:tabs>
        <w:spacing w:before="0"/>
      </w:pPr>
      <w:r>
        <w:t>Овим решењем утврђују се просечне цене квадратног метра одговарајућих непокретности за утврђив</w:t>
      </w:r>
      <w:r>
        <w:t>ање пореза на имовину за 2020. годину на територији општине Бечеј.</w:t>
      </w:r>
    </w:p>
    <w:p w:rsidR="004F214D" w:rsidRDefault="00654670">
      <w:pPr>
        <w:pStyle w:val="Bodytext20"/>
        <w:numPr>
          <w:ilvl w:val="0"/>
          <w:numId w:val="2"/>
        </w:numPr>
        <w:shd w:val="clear" w:color="auto" w:fill="auto"/>
        <w:tabs>
          <w:tab w:val="left" w:pos="314"/>
        </w:tabs>
        <w:spacing w:before="0"/>
      </w:pPr>
      <w:r>
        <w:t xml:space="preserve">Просечне цене квадратног метра непокретности за утврђивање пореза на имовину за 2020. годину на територији општине Бечеј утврђују се на основу званичних података из просечних цена </w:t>
      </w:r>
      <w:r>
        <w:t>квадратног метра непокретности за период 01.01.2019. године до 30.09.2019. године у поступку доношења решења о порезу на пренос апсолутних права који утврђује Министарство финансија Пореска управа Филијала Бечеј, а по зонама утврђеним у члану 3. Одлуке о у</w:t>
      </w:r>
      <w:r>
        <w:t>тврђивању елемената пореза на имовину за територију општине Бечеј („Службени лист општине Бечеј" број 13/2014) односно применом члана 6. става 8. Закона о порезима на имовину и то: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1"/>
        <w:gridCol w:w="1133"/>
        <w:gridCol w:w="2299"/>
      </w:tblGrid>
      <w:tr w:rsidR="004F214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Врста непокретности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>Зона у којој се налази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 xml:space="preserve">Цена </w:t>
            </w: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Грађевинско земљиште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1.454,05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Грађевинско земљиште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909,11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Грађевинско земљиште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593,33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Грађевинско земљиште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IV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365,28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Пољопривредно земљиште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V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125,17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Друго земљиште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V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75,10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Станови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53.031,81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Станови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30.999,00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Станови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20.975,00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Станови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IV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15.295,00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Куће за становање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20.255,97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Куће за становање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17.574,63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Куће за становање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14.859,27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Куће за становање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IV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8.668,09 динара</w:t>
            </w:r>
          </w:p>
        </w:tc>
      </w:tr>
    </w:tbl>
    <w:p w:rsidR="004F214D" w:rsidRDefault="004F214D">
      <w:pPr>
        <w:framePr w:w="9643" w:wrap="notBeside" w:vAnchor="text" w:hAnchor="text" w:y="1"/>
        <w:rPr>
          <w:sz w:val="2"/>
          <w:szCs w:val="2"/>
        </w:rPr>
      </w:pPr>
    </w:p>
    <w:p w:rsidR="004F214D" w:rsidRDefault="0065467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1"/>
        <w:gridCol w:w="1133"/>
        <w:gridCol w:w="2299"/>
      </w:tblGrid>
      <w:tr w:rsidR="004F214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lastRenderedPageBreak/>
              <w:t xml:space="preserve">Пословне зграде и </w:t>
            </w:r>
            <w:r>
              <w:rPr>
                <w:rStyle w:val="Bodytext21"/>
              </w:rPr>
              <w:t>други (надземни и подземни) грађевински објекти који служе за обављање делатности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41.807,64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69" w:lineRule="exact"/>
              <w:jc w:val="left"/>
            </w:pPr>
            <w:r>
              <w:rPr>
                <w:rStyle w:val="Bodytext21"/>
              </w:rPr>
              <w:t>Пословне зграде и други (надземни и подземни) грађевински објекти који служе за обављање делатности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47.980,00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Пословне зграде и други </w:t>
            </w:r>
            <w:r>
              <w:rPr>
                <w:rStyle w:val="Bodytext21"/>
              </w:rPr>
              <w:t>(надземни и подземни) грађевински објекти који служе за обављање делатности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57.723,16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>Пословне зграде и други (надземни и подземни) грађевински објекти који служе за обављање делатности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IV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24.260,69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Гараже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15.153,34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Гараже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8.586,00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Гараже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6.742,00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Гараже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IV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4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4.649,73 динара</w:t>
            </w:r>
          </w:p>
        </w:tc>
      </w:tr>
    </w:tbl>
    <w:p w:rsidR="004F214D" w:rsidRDefault="004F214D">
      <w:pPr>
        <w:framePr w:w="9643" w:wrap="notBeside" w:vAnchor="text" w:hAnchor="text" w:y="1"/>
        <w:rPr>
          <w:sz w:val="2"/>
          <w:szCs w:val="2"/>
        </w:rPr>
      </w:pPr>
    </w:p>
    <w:p w:rsidR="004F214D" w:rsidRDefault="004F214D">
      <w:pPr>
        <w:rPr>
          <w:sz w:val="2"/>
          <w:szCs w:val="2"/>
        </w:rPr>
      </w:pPr>
    </w:p>
    <w:p w:rsidR="004F214D" w:rsidRDefault="00654670">
      <w:pPr>
        <w:pStyle w:val="Bodytext20"/>
        <w:numPr>
          <w:ilvl w:val="0"/>
          <w:numId w:val="2"/>
        </w:numPr>
        <w:shd w:val="clear" w:color="auto" w:fill="auto"/>
        <w:tabs>
          <w:tab w:val="left" w:pos="1210"/>
        </w:tabs>
        <w:spacing w:before="262" w:after="335"/>
        <w:ind w:firstLine="840"/>
      </w:pPr>
      <w:r>
        <w:t>Ово решење објавити у „Службеном листу општине Бечеј", а примењиваће се од 01.01.2020. године.</w:t>
      </w:r>
    </w:p>
    <w:p w:rsidR="004F214D" w:rsidRDefault="00654670">
      <w:pPr>
        <w:pStyle w:val="Bodytext30"/>
        <w:shd w:val="clear" w:color="auto" w:fill="auto"/>
        <w:spacing w:before="0" w:after="218" w:line="220" w:lineRule="exact"/>
        <w:ind w:right="80"/>
      </w:pPr>
      <w:r>
        <w:t>О б р а з л о ж е њ е</w:t>
      </w:r>
    </w:p>
    <w:p w:rsidR="004F214D" w:rsidRDefault="00654670">
      <w:pPr>
        <w:pStyle w:val="Bodytext20"/>
        <w:shd w:val="clear" w:color="auto" w:fill="auto"/>
        <w:spacing w:before="0"/>
        <w:ind w:firstLine="840"/>
      </w:pPr>
      <w:r>
        <w:t xml:space="preserve">Одлуком о утврђивању елемената пореза на имовину за </w:t>
      </w:r>
      <w:r>
        <w:t>територију општине Бечеј („Службени лист општине Бечеј" бр. 13/2014) одређено је пет зона за утврђивање пореза на имовину, према комуналној опремљености и опремљености јавним објектима, саобраћајној повезаности са централним деловима општине Бечеј, односно</w:t>
      </w:r>
      <w:r>
        <w:t xml:space="preserve"> радним зонама и другим садржајима у насељу и то: прва, друга, трећа, четврта и пета зона.</w:t>
      </w:r>
    </w:p>
    <w:p w:rsidR="004F214D" w:rsidRDefault="00654670">
      <w:pPr>
        <w:pStyle w:val="Bodytext20"/>
        <w:shd w:val="clear" w:color="auto" w:fill="auto"/>
        <w:spacing w:before="0"/>
        <w:ind w:firstLine="840"/>
      </w:pPr>
      <w:r>
        <w:t>Закон о финансирању локалне самоуправе ("Сл. гласник РС", бр. 62/2006, 47/2011, 93/2012, 99/2013 - усклађени дин. изн., 125/2014 - усклађени дин. изн., 95/2015 - уск</w:t>
      </w:r>
      <w:r>
        <w:t>лађени дин. изн., 83/2016, 91/2016 - усклађени дин. изн., 104/2016 - др. закон и 96/2017 - усклађени дин. изн., 89/2018 - усклађени дин. изн. и 95/2018 - др. закон), одредбама члана 6. став 1. тачка 1. у вези члана 60. прописује да локална самоуправа у цел</w:t>
      </w:r>
      <w:r>
        <w:t>ости утврђује, контролише и наплаћује изворне јавне приходе па и изворни локални јавни приход у виду пореза на имовину.</w:t>
      </w:r>
    </w:p>
    <w:p w:rsidR="004F214D" w:rsidRDefault="00654670">
      <w:pPr>
        <w:pStyle w:val="Bodytext20"/>
        <w:shd w:val="clear" w:color="auto" w:fill="auto"/>
        <w:spacing w:before="0"/>
        <w:ind w:firstLine="840"/>
      </w:pPr>
      <w:r>
        <w:t>Закона о порезима на имовину је прописано: чланом 5. да пореска основица пореза на имовину за непокретности пореског обвезника који не в</w:t>
      </w:r>
      <w:r>
        <w:t>оди пословне књиге је вредност непокретности утврђена у складу са овим законом. Чланом 6 је одређено да вредност непокретности из члана 5. овог закона утврђује се применом следећих елемената: 1) корисне површине и 2) просечне цене квадратног метра (у даљем</w:t>
      </w:r>
      <w:r>
        <w:t xml:space="preserve"> тексту: просечна цена) одговарајућих непокретности у зони у којој се налази непокретност, као и да просечну цену одговарајућих непокретности по зонама на територији јединице локалне самоуправе, утврђује свака јединица локалне самоуправе актом надлежног ор</w:t>
      </w:r>
      <w:r>
        <w:t>гана, на основу цена остварених у промету одговарајућих непокретности по зонама у периоду од 1. јануара до 30. септембра године која претходи години за коју се утврђује порез на имовину (у даљем тексту: текућа година). Просечна цена у зони у којој није бил</w:t>
      </w:r>
      <w:r>
        <w:t xml:space="preserve">о најмање три промета (у даљем тексту: зона у којој није било промета) одговарајућих непокретности у законом предвиђеном периоду, за те непокретности утврђује се на основу просека просечних цена остварених у граничним зонама у којима је у том периоду било </w:t>
      </w:r>
      <w:r>
        <w:t>најмање три промета одговарајућих непокретности (граничне зоне су зоне чије се територије граниче са зоном у којој није било промета, независно од тога којој јединици локалне самоуправе припадају). Ако ни у граничним зонама члана није било промета одговара</w:t>
      </w:r>
      <w:r>
        <w:t>јућих непокретности у датом периоду, основица пореза на имовину за те непокретности у зони у којој није било промета једнака је основици пореза на имовину те, односно одговарајуће непокретности у тој зони обвезника који не води пословне књиге за текућу год</w:t>
      </w:r>
      <w:r>
        <w:t>ину. Како је гранична зона према осталим општинама зона 5 у којој је било више од три остварена промета, није затражен податак о просечним ценама граничних зона суседних општина.</w:t>
      </w:r>
    </w:p>
    <w:p w:rsidR="004F214D" w:rsidRDefault="00654670">
      <w:pPr>
        <w:pStyle w:val="Bodytext20"/>
        <w:shd w:val="clear" w:color="auto" w:fill="auto"/>
        <w:spacing w:before="0"/>
        <w:ind w:firstLine="840"/>
      </w:pPr>
      <w:r>
        <w:t xml:space="preserve">Надаље су чланом 6а предвиђена врсте непокретности: 1) грађевинско земљиште; </w:t>
      </w:r>
      <w:r>
        <w:t>2) пољопривредно земљиште; 3) шумско земљиште; 4) станови; 5) куће за становање; 6) пословне зграде и други (надземни и подземни) грађевински објекти који служе за обављање делатности; 7) гараже и гаражна места. На основу датог разврставања врсте непокретн</w:t>
      </w:r>
      <w:r>
        <w:t>ости су и утврђене цене по m</w:t>
      </w:r>
      <w:r>
        <w:rPr>
          <w:vertAlign w:val="superscript"/>
        </w:rPr>
        <w:t>2</w:t>
      </w:r>
      <w:r>
        <w:t xml:space="preserve"> и по зонама како је решено у диспозитиву. Члан 7а предвиђа обавезу јединица локалне самоуправе да објави акт којим се утврђују просечне цене одговарајућих непокретности у зонама до 30. новембра сваке текуће године, на начин на</w:t>
      </w:r>
      <w:r>
        <w:t xml:space="preserve"> који се објављују њени општи акти.</w:t>
      </w:r>
    </w:p>
    <w:p w:rsidR="004F214D" w:rsidRDefault="00654670">
      <w:pPr>
        <w:pStyle w:val="Bodytext20"/>
        <w:shd w:val="clear" w:color="auto" w:fill="auto"/>
        <w:spacing w:before="0"/>
        <w:ind w:firstLine="840"/>
      </w:pPr>
      <w:r>
        <w:lastRenderedPageBreak/>
        <w:t xml:space="preserve">Просечну цену одговарајућих непокретности по зонама на територији јединице локалне самоуправе утврђује свака јединица локалне самоуправе актом надлежног органа, на основу цена остварених у промету </w:t>
      </w:r>
      <w:r>
        <w:t>одговарајућих непокретности по зонама у периоду од 1. јануара до 30. септембра године која претходи години за коју се утврђује порез на имовину.</w:t>
      </w:r>
    </w:p>
    <w:p w:rsidR="004F214D" w:rsidRDefault="00654670">
      <w:pPr>
        <w:pStyle w:val="Bodytext20"/>
        <w:shd w:val="clear" w:color="auto" w:fill="auto"/>
        <w:spacing w:before="0"/>
        <w:ind w:firstLine="840"/>
      </w:pPr>
      <w:r>
        <w:t>Општинска управа општине Бечеј је путем Одељења локалне пореске администрације Бечеј, од Републике Србије Минис</w:t>
      </w:r>
      <w:r>
        <w:t>тарства финансија, Пореске управе - ГРУПЕ ЗА КОНТРОЛУ ИЗДВОЈЕНИХ АКТИВНОСТИ БЕЧЕЈ дана 18.10.2019. године под бројем 208-464-08-00026/2018-01 примила одговор на службену замолницу, којом су достављени подаци из службене евиденције овог органа у погледу пар</w:t>
      </w:r>
      <w:r>
        <w:t>ификата коришћених у поступку утврђивања тржишне вредности, а ради утврђивања основице пореза на пренос апсолутних права.</w:t>
      </w:r>
    </w:p>
    <w:p w:rsidR="004F214D" w:rsidRDefault="00654670">
      <w:pPr>
        <w:pStyle w:val="Bodytext20"/>
        <w:shd w:val="clear" w:color="auto" w:fill="auto"/>
        <w:spacing w:before="0" w:after="787"/>
        <w:ind w:firstLine="840"/>
      </w:pPr>
      <w:r>
        <w:t>На основу достављених података поменутог републичког органа цене утврђене по члану 6 став 5 (најмање 3 остварена промета релевантне зо</w:t>
      </w:r>
      <w:r>
        <w:t>не за релевантну вредност непокретности) су следеће цене из става 2 диспозитива: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1"/>
        <w:gridCol w:w="1133"/>
        <w:gridCol w:w="2419"/>
      </w:tblGrid>
      <w:tr w:rsidR="004F214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Врста непокретности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>Зона у којој се налази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 xml:space="preserve">Цена </w:t>
            </w: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Грађевинско земљиште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1.454,05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Грађевинско земљиште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909,11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Грађевинско земљиште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593,33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Грађевинско земљиште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IV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365,28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Пољопривредно земљиште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V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125,17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Друго земљиште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V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75,10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Станови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53.031,81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Куће за становање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20.255,97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Куће за становање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17.574,63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Куће за становање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 xml:space="preserve">14.859,27 </w:t>
            </w:r>
            <w:r>
              <w:rPr>
                <w:rStyle w:val="Bodytext21"/>
              </w:rPr>
              <w:t>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Куће за становање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IV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8.668,09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69" w:lineRule="exact"/>
              <w:jc w:val="left"/>
            </w:pPr>
            <w:r>
              <w:rPr>
                <w:rStyle w:val="Bodytext21"/>
              </w:rPr>
              <w:t>Пословне зграде и други (надземни и подземни) грађевински објекти који служе за обављање делатности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763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41.807,64 динара</w:t>
            </w:r>
          </w:p>
        </w:tc>
      </w:tr>
    </w:tbl>
    <w:p w:rsidR="004F214D" w:rsidRDefault="004F214D">
      <w:pPr>
        <w:framePr w:w="9763" w:wrap="notBeside" w:vAnchor="text" w:hAnchor="text" w:y="1"/>
        <w:rPr>
          <w:sz w:val="2"/>
          <w:szCs w:val="2"/>
        </w:rPr>
      </w:pPr>
    </w:p>
    <w:p w:rsidR="004F214D" w:rsidRDefault="004F214D">
      <w:pPr>
        <w:rPr>
          <w:sz w:val="2"/>
          <w:szCs w:val="2"/>
        </w:rPr>
      </w:pPr>
    </w:p>
    <w:p w:rsidR="004F214D" w:rsidRDefault="00654670">
      <w:pPr>
        <w:pStyle w:val="Bodytext20"/>
        <w:shd w:val="clear" w:color="auto" w:fill="auto"/>
        <w:spacing w:before="262"/>
      </w:pPr>
      <w:r>
        <w:t>Допунама члана 6, новим ставом 8 ЗПИ, прописано је да уколико није утврђена цена „другог земљишта" јер није било најмање три промета уз накнаду, а постоји утврђена цена пољопривредног земљишта, онда се вредност „другог земљишта" (осим експлоатационих поља)</w:t>
      </w:r>
      <w:r>
        <w:t xml:space="preserve"> утврђује тако што се просечна цена пољопривредног земљишта умањује за 40%. Како је цена пољопривредног земљишта утврђена у износу од 125,17 динара по m</w:t>
      </w:r>
      <w:r>
        <w:rPr>
          <w:vertAlign w:val="superscript"/>
        </w:rPr>
        <w:t>2</w:t>
      </w:r>
      <w:r>
        <w:t xml:space="preserve"> за пољопривредно земљиште, то је цена „другог земљишта" изреком овог решења утврђена на 75,10 динара п</w:t>
      </w:r>
      <w:r>
        <w:t>о m</w:t>
      </w:r>
      <w:r>
        <w:rPr>
          <w:vertAlign w:val="superscript"/>
        </w:rPr>
        <w:t>2</w:t>
      </w:r>
      <w:r>
        <w:t>.</w:t>
      </w:r>
    </w:p>
    <w:p w:rsidR="004F214D" w:rsidRDefault="00654670">
      <w:pPr>
        <w:pStyle w:val="Bodytext20"/>
        <w:shd w:val="clear" w:color="auto" w:fill="auto"/>
        <w:spacing w:before="0"/>
      </w:pPr>
      <w:r>
        <w:t>На основу достављених података поменутог републичког органа цене утврђене по члану 6 став 6 до 8 (без најмање 3 остварена промета релевантне зоне за релевантну вредност непокретности и без релевантног промета у граничним зонама) су следеће цене из ст</w:t>
      </w:r>
      <w:r>
        <w:t>ава 2 дипозитива - односно цене која је утврђена за текућу годину: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1"/>
        <w:gridCol w:w="1133"/>
        <w:gridCol w:w="2280"/>
      </w:tblGrid>
      <w:tr w:rsidR="004F214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lastRenderedPageBreak/>
              <w:t>Врста непокретности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>Зона у којој се налази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 xml:space="preserve">Цена </w:t>
            </w:r>
            <w:r>
              <w:rPr>
                <w:rStyle w:val="Bodytext21"/>
              </w:rPr>
              <w:t>m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Станови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30.999,00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Станови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20.975,00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Станови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15.295,00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69" w:lineRule="exact"/>
              <w:jc w:val="left"/>
            </w:pPr>
            <w:r>
              <w:rPr>
                <w:rStyle w:val="Bodytext21"/>
              </w:rPr>
              <w:t xml:space="preserve">Пословне зграде и други (надземни и </w:t>
            </w:r>
            <w:r>
              <w:rPr>
                <w:rStyle w:val="Bodytext21"/>
              </w:rPr>
              <w:t>подземни) грађевински објекти који служе за обављање делатности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47.980,00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69" w:lineRule="exact"/>
              <w:jc w:val="left"/>
            </w:pPr>
            <w:r>
              <w:rPr>
                <w:rStyle w:val="Bodytext21"/>
              </w:rPr>
              <w:t>Пословне зграде и други (надземни и подземни) грађевински објекти који служе за обављање делатности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57.723,16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Гараже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8.586,00 динара</w:t>
            </w:r>
          </w:p>
        </w:tc>
      </w:tr>
      <w:tr w:rsidR="004F214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Гараже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III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14D" w:rsidRDefault="00654670">
            <w:pPr>
              <w:pStyle w:val="Bodytext20"/>
              <w:framePr w:w="9624" w:wrap="notBeside" w:vAnchor="text" w:hAnchor="text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"/>
              </w:rPr>
              <w:t>6.742,00 динара</w:t>
            </w:r>
          </w:p>
        </w:tc>
      </w:tr>
    </w:tbl>
    <w:p w:rsidR="004F214D" w:rsidRDefault="00654670">
      <w:pPr>
        <w:pStyle w:val="Tablecaption0"/>
        <w:framePr w:w="9624" w:wrap="notBeside" w:vAnchor="text" w:hAnchor="text" w:y="1"/>
        <w:shd w:val="clear" w:color="auto" w:fill="auto"/>
        <w:spacing w:line="220" w:lineRule="exact"/>
      </w:pPr>
      <w:r>
        <w:t>Имајући у виду све напред изнето, донета је одлука као у изреци овог решења.</w:t>
      </w:r>
    </w:p>
    <w:p w:rsidR="004F214D" w:rsidRDefault="004F214D">
      <w:pPr>
        <w:framePr w:w="9624" w:wrap="notBeside" w:vAnchor="text" w:hAnchor="text" w:y="1"/>
        <w:rPr>
          <w:sz w:val="2"/>
          <w:szCs w:val="2"/>
        </w:rPr>
      </w:pPr>
    </w:p>
    <w:p w:rsidR="004F214D" w:rsidRDefault="004F214D">
      <w:pPr>
        <w:rPr>
          <w:sz w:val="2"/>
          <w:szCs w:val="2"/>
        </w:rPr>
      </w:pPr>
    </w:p>
    <w:p w:rsidR="004F214D" w:rsidRDefault="00654670">
      <w:pPr>
        <w:pStyle w:val="Bodytext20"/>
        <w:shd w:val="clear" w:color="auto" w:fill="auto"/>
        <w:spacing w:before="442"/>
      </w:pPr>
      <w:r>
        <w:t>Република Србија</w:t>
      </w:r>
    </w:p>
    <w:p w:rsidR="004F214D" w:rsidRDefault="00654670">
      <w:pPr>
        <w:pStyle w:val="Bodytext20"/>
        <w:shd w:val="clear" w:color="auto" w:fill="auto"/>
        <w:tabs>
          <w:tab w:val="left" w:pos="5770"/>
        </w:tabs>
        <w:spacing w:before="0"/>
      </w:pPr>
      <w:r>
        <w:t>Аутономна Покрајина Војводина</w:t>
      </w:r>
      <w:r>
        <w:tab/>
        <w:t>ПРЕДСЕДНИК ОПШТИНСКОГ ВЕЋА</w:t>
      </w:r>
    </w:p>
    <w:p w:rsidR="004F214D" w:rsidRDefault="00654670">
      <w:pPr>
        <w:pStyle w:val="Bodytext20"/>
        <w:shd w:val="clear" w:color="auto" w:fill="auto"/>
        <w:spacing w:before="0"/>
      </w:pPr>
      <w:r>
        <w:t>Општина Бечеј</w:t>
      </w:r>
    </w:p>
    <w:p w:rsidR="004F214D" w:rsidRDefault="00654670">
      <w:pPr>
        <w:pStyle w:val="Bodytext20"/>
        <w:shd w:val="clear" w:color="auto" w:fill="auto"/>
        <w:tabs>
          <w:tab w:val="left" w:pos="7128"/>
        </w:tabs>
        <w:spacing w:before="0"/>
      </w:pPr>
      <w:r>
        <w:t>ОПШТИНСКО ВЕЋЕ</w:t>
      </w:r>
      <w:r>
        <w:tab/>
        <w:t>Драган Тошић, с.р.</w:t>
      </w:r>
    </w:p>
    <w:p w:rsidR="00D463CF" w:rsidRDefault="00654670">
      <w:pPr>
        <w:pStyle w:val="Bodytext20"/>
        <w:shd w:val="clear" w:color="auto" w:fill="auto"/>
        <w:spacing w:before="0" w:after="275"/>
        <w:ind w:right="7920"/>
        <w:jc w:val="left"/>
      </w:pPr>
      <w:r>
        <w:t xml:space="preserve">Број: III 031-172/2019 Дана: </w:t>
      </w:r>
      <w:r>
        <w:t xml:space="preserve">29.11.2019. године </w:t>
      </w:r>
    </w:p>
    <w:p w:rsidR="004F214D" w:rsidRDefault="00654670" w:rsidP="00D463CF">
      <w:pPr>
        <w:pStyle w:val="Bodytext20"/>
        <w:shd w:val="clear" w:color="auto" w:fill="auto"/>
        <w:spacing w:before="0" w:after="275"/>
        <w:ind w:right="7920"/>
        <w:jc w:val="left"/>
      </w:pPr>
      <w:r>
        <w:t>Б Е Ч Е Ј</w:t>
      </w:r>
    </w:p>
    <w:sectPr w:rsidR="004F214D" w:rsidSect="00D463CF">
      <w:footerReference w:type="first" r:id="rId7"/>
      <w:footnotePr>
        <w:numRestart w:val="eachPage"/>
      </w:footnotePr>
      <w:pgSz w:w="11900" w:h="16840"/>
      <w:pgMar w:top="1272" w:right="634" w:bottom="532" w:left="56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670" w:rsidRDefault="00654670">
      <w:r>
        <w:separator/>
      </w:r>
    </w:p>
  </w:endnote>
  <w:endnote w:type="continuationSeparator" w:id="0">
    <w:p w:rsidR="00654670" w:rsidRDefault="0065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14D" w:rsidRDefault="00D463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3522980</wp:posOffset>
              </wp:positionH>
              <wp:positionV relativeFrom="page">
                <wp:posOffset>9674860</wp:posOffset>
              </wp:positionV>
              <wp:extent cx="285750" cy="87630"/>
              <wp:effectExtent l="0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14D" w:rsidRDefault="0065467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6ptNotBoldSpacing0pt"/>
                            </w:rPr>
                            <w:t xml:space="preserve">--- o </w:t>
                          </w:r>
                          <w:r>
                            <w:rPr>
                              <w:rStyle w:val="Headerorfooter6ptNotBoldSpacing0pt"/>
                            </w:rPr>
                            <w:t>---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4pt;margin-top:761.8pt;width:22.5pt;height:6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" filled="f" stroked="f">
              <v:textbox style="mso-fit-shape-to-text:t" inset="0,0,0,0">
                <w:txbxContent>
                  <w:p w:rsidR="004F214D" w:rsidRDefault="00654670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6ptNotBoldSpacing0pt"/>
                      </w:rPr>
                      <w:t xml:space="preserve">--- o </w:t>
                    </w:r>
                    <w:r>
                      <w:rPr>
                        <w:rStyle w:val="Headerorfooter6ptNotBoldSpacing0pt"/>
                      </w:rPr>
                      <w:t>---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670" w:rsidRDefault="00654670">
      <w:r>
        <w:separator/>
      </w:r>
    </w:p>
  </w:footnote>
  <w:footnote w:type="continuationSeparator" w:id="0">
    <w:p w:rsidR="00654670" w:rsidRDefault="00654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E5935"/>
    <w:multiLevelType w:val="multilevel"/>
    <w:tmpl w:val="323EE1C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AF5989"/>
    <w:multiLevelType w:val="multilevel"/>
    <w:tmpl w:val="53D80954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573E57"/>
    <w:multiLevelType w:val="multilevel"/>
    <w:tmpl w:val="A10E261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201ACC"/>
    <w:multiLevelType w:val="multilevel"/>
    <w:tmpl w:val="96B667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4D"/>
    <w:rsid w:val="004F214D"/>
    <w:rsid w:val="00654670"/>
    <w:rsid w:val="00D4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AE128"/>
  <w15:docId w15:val="{FD6E8A66-EB46-4769-9870-9D6592E2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b w:val="0"/>
      <w:bCs w:val="0"/>
      <w:i w:val="0"/>
      <w:iCs w:val="0"/>
      <w:smallCaps w:val="0"/>
      <w:strike w:val="0"/>
      <w:sz w:val="22"/>
      <w:szCs w:val="22"/>
      <w:u w:val="none"/>
      <w:lang/>
    </w:rPr>
  </w:style>
  <w:style w:type="character" w:customStyle="1" w:styleId="Heading1">
    <w:name w:val="Heading #1_"/>
    <w:basedOn w:val="DefaultParagraphFont"/>
    <w:link w:val="Heading10"/>
    <w:rPr>
      <w:b/>
      <w:bCs/>
      <w:i w:val="0"/>
      <w:iCs w:val="0"/>
      <w:smallCaps w:val="0"/>
      <w:strike w:val="0"/>
      <w:sz w:val="40"/>
      <w:szCs w:val="40"/>
      <w:u w:val="none"/>
      <w:lang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/>
    </w:rPr>
  </w:style>
  <w:style w:type="character" w:customStyle="1" w:styleId="Bodytext3">
    <w:name w:val="Body text (3)_"/>
    <w:basedOn w:val="DefaultParagraphFont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/>
    </w:rPr>
  </w:style>
  <w:style w:type="character" w:customStyle="1" w:styleId="Tablecaption">
    <w:name w:val="Table caption_"/>
    <w:basedOn w:val="DefaultParagraphFont"/>
    <w:link w:val="Tabl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DefaultParagraphFont"/>
    <w:rPr>
      <w:b/>
      <w:bCs/>
      <w:i w:val="0"/>
      <w:iCs w:val="0"/>
      <w:smallCaps w:val="0"/>
      <w:strike w:val="0"/>
      <w:sz w:val="22"/>
      <w:szCs w:val="22"/>
      <w:u w:val="none"/>
      <w:lang/>
    </w:rPr>
  </w:style>
  <w:style w:type="character" w:customStyle="1" w:styleId="Headerorfooter6ptNotBoldSpacing0pt">
    <w:name w:val="Header or footer + 6 pt;Not Bold;Spacing 0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/>
    </w:rPr>
  </w:style>
  <w:style w:type="character" w:customStyle="1" w:styleId="Bodytext4">
    <w:name w:val="Body text (4)_"/>
    <w:basedOn w:val="DefaultParagraphFont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TrebuchetMS105ptBold">
    <w:name w:val="Body text (5) + Trebuchet MS;10;5 pt;Bold"/>
    <w:basedOn w:val="Body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64" w:lineRule="exact"/>
      <w:jc w:val="both"/>
    </w:pPr>
    <w:rPr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0" w:line="0" w:lineRule="atLeast"/>
      <w:outlineLvl w:val="0"/>
    </w:pPr>
    <w:rPr>
      <w:b/>
      <w:bCs/>
      <w:sz w:val="40"/>
      <w:szCs w:val="4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line="264" w:lineRule="exact"/>
      <w:jc w:val="both"/>
    </w:pPr>
    <w:rPr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80" w:line="264" w:lineRule="exact"/>
      <w:jc w:val="center"/>
    </w:pPr>
    <w:rPr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60" w:lineRule="exact"/>
      <w:jc w:val="right"/>
    </w:pPr>
    <w:rPr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80" w:after="300" w:line="0" w:lineRule="atLeast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63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3C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63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3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1403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Attila</cp:lastModifiedBy>
  <cp:revision>1</cp:revision>
  <dcterms:created xsi:type="dcterms:W3CDTF">2020-03-11T07:17:00Z</dcterms:created>
  <dcterms:modified xsi:type="dcterms:W3CDTF">2020-03-11T07:20:00Z</dcterms:modified>
</cp:coreProperties>
</file>